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3284"/>
        <w:gridCol w:w="2920"/>
        <w:gridCol w:w="3629"/>
      </w:tblGrid>
      <w:tr w:rsidR="001D4573" w14:paraId="12C13A11" w14:textId="77777777" w:rsidTr="00601D71">
        <w:trPr>
          <w:jc w:val="center"/>
        </w:trPr>
        <w:tc>
          <w:tcPr>
            <w:tcW w:w="3284" w:type="dxa"/>
          </w:tcPr>
          <w:p w14:paraId="719D3DC5" w14:textId="77777777" w:rsidR="001D4573" w:rsidRDefault="001D4573" w:rsidP="00601D71">
            <w:pPr>
              <w:jc w:val="center"/>
            </w:pPr>
          </w:p>
        </w:tc>
        <w:tc>
          <w:tcPr>
            <w:tcW w:w="2920" w:type="dxa"/>
          </w:tcPr>
          <w:p w14:paraId="3857A840" w14:textId="77777777" w:rsidR="001D4573" w:rsidRDefault="001D4573" w:rsidP="00601D71">
            <w:pPr>
              <w:jc w:val="center"/>
            </w:pPr>
          </w:p>
        </w:tc>
        <w:tc>
          <w:tcPr>
            <w:tcW w:w="3629" w:type="dxa"/>
          </w:tcPr>
          <w:p w14:paraId="15DE787E" w14:textId="77777777" w:rsidR="001D4573" w:rsidRDefault="001D4573" w:rsidP="00601D71">
            <w:pPr>
              <w:jc w:val="center"/>
              <w:rPr>
                <w:b/>
                <w:sz w:val="24"/>
              </w:rPr>
            </w:pPr>
          </w:p>
        </w:tc>
      </w:tr>
      <w:tr w:rsidR="001D4573" w14:paraId="5EAEDC0B" w14:textId="77777777" w:rsidTr="00601D71">
        <w:trPr>
          <w:jc w:val="center"/>
        </w:trPr>
        <w:tc>
          <w:tcPr>
            <w:tcW w:w="3284" w:type="dxa"/>
          </w:tcPr>
          <w:p w14:paraId="19DD4BCF" w14:textId="77777777" w:rsidR="001D4573" w:rsidRDefault="001D4573" w:rsidP="00601D71">
            <w:pPr>
              <w:jc w:val="center"/>
            </w:pPr>
          </w:p>
        </w:tc>
        <w:tc>
          <w:tcPr>
            <w:tcW w:w="2920" w:type="dxa"/>
          </w:tcPr>
          <w:p w14:paraId="59B20F6D" w14:textId="77777777" w:rsidR="001D4573" w:rsidRDefault="001D4573" w:rsidP="00601D71">
            <w:pPr>
              <w:jc w:val="center"/>
            </w:pPr>
            <w:bookmarkStart w:id="0" w:name="_MON_1051091062"/>
            <w:bookmarkStart w:id="1" w:name="_MON_1051000241"/>
            <w:bookmarkStart w:id="2" w:name="_MON_1051000405"/>
            <w:bookmarkStart w:id="3" w:name="_MON_1051000430"/>
            <w:bookmarkStart w:id="4" w:name="_MON_1051000472"/>
            <w:bookmarkStart w:id="5" w:name="_MON_1051000718"/>
            <w:bookmarkEnd w:id="0"/>
            <w:bookmarkEnd w:id="1"/>
            <w:bookmarkEnd w:id="2"/>
            <w:bookmarkEnd w:id="3"/>
            <w:bookmarkEnd w:id="4"/>
            <w:bookmarkEnd w:id="5"/>
            <w:r w:rsidRPr="00E0433B">
              <w:rPr>
                <w:noProof/>
                <w:lang w:eastAsia="lt-LT"/>
              </w:rPr>
              <w:drawing>
                <wp:inline distT="0" distB="0" distL="0" distR="0" wp14:anchorId="0AB471BD" wp14:editId="477C10E3">
                  <wp:extent cx="482600" cy="546947"/>
                  <wp:effectExtent l="0" t="0" r="0" b="5715"/>
                  <wp:docPr id="17" name="Paveikslėlis 17" descr="Lietuvo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veikslėlis 17" descr="Lietuvos 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3104" cy="558852"/>
                          </a:xfrm>
                          <a:prstGeom prst="rect">
                            <a:avLst/>
                          </a:prstGeom>
                          <a:noFill/>
                          <a:ln>
                            <a:noFill/>
                          </a:ln>
                        </pic:spPr>
                      </pic:pic>
                    </a:graphicData>
                  </a:graphic>
                </wp:inline>
              </w:drawing>
            </w:r>
          </w:p>
        </w:tc>
        <w:tc>
          <w:tcPr>
            <w:tcW w:w="3629" w:type="dxa"/>
          </w:tcPr>
          <w:p w14:paraId="1F06B087" w14:textId="77777777" w:rsidR="001D4573" w:rsidRDefault="001D4573" w:rsidP="00601D71">
            <w:pPr>
              <w:jc w:val="center"/>
            </w:pPr>
          </w:p>
        </w:tc>
      </w:tr>
    </w:tbl>
    <w:p w14:paraId="753C8A41" w14:textId="77777777" w:rsidR="001D4573" w:rsidRDefault="001D4573" w:rsidP="001D4573">
      <w:pPr>
        <w:jc w:val="center"/>
        <w:rPr>
          <w:sz w:val="26"/>
        </w:rPr>
      </w:pPr>
    </w:p>
    <w:p w14:paraId="2E90CDE9" w14:textId="77777777" w:rsidR="001D4573" w:rsidRPr="008C2B21" w:rsidRDefault="001D4573" w:rsidP="001D4573">
      <w:pPr>
        <w:jc w:val="center"/>
        <w:rPr>
          <w:b/>
          <w:sz w:val="24"/>
          <w:szCs w:val="24"/>
        </w:rPr>
      </w:pPr>
      <w:r w:rsidRPr="008C2B21">
        <w:rPr>
          <w:b/>
          <w:sz w:val="24"/>
          <w:szCs w:val="24"/>
        </w:rPr>
        <w:t>LIETUVOS RESPUBLIKOS SUSISIEKIMO MINISTERIJA</w:t>
      </w:r>
    </w:p>
    <w:p w14:paraId="04382583" w14:textId="77777777" w:rsidR="001D4573" w:rsidRDefault="001D4573" w:rsidP="001D4573">
      <w:pPr>
        <w:jc w:val="center"/>
        <w:rPr>
          <w:sz w:val="24"/>
        </w:rPr>
      </w:pPr>
    </w:p>
    <w:p w14:paraId="7903B91A" w14:textId="77777777" w:rsidR="001D4573" w:rsidRDefault="001D4573" w:rsidP="001D4573">
      <w:pPr>
        <w:ind w:left="567" w:right="567"/>
        <w:jc w:val="center"/>
        <w:rPr>
          <w:sz w:val="18"/>
        </w:rPr>
      </w:pPr>
      <w:r w:rsidRPr="00B331FB">
        <w:rPr>
          <w:sz w:val="18"/>
        </w:rPr>
        <w:t>Biudžetinė įstaiga,   Gedimino pr. 17, LT-01</w:t>
      </w:r>
      <w:r>
        <w:rPr>
          <w:sz w:val="18"/>
        </w:rPr>
        <w:t>103</w:t>
      </w:r>
      <w:r w:rsidRPr="00B331FB">
        <w:rPr>
          <w:sz w:val="18"/>
        </w:rPr>
        <w:t xml:space="preserve"> Vilnius,   tel. </w:t>
      </w:r>
      <w:r>
        <w:rPr>
          <w:sz w:val="18"/>
        </w:rPr>
        <w:t xml:space="preserve">+370 631 13112, </w:t>
      </w:r>
      <w:r w:rsidRPr="00B331FB">
        <w:rPr>
          <w:sz w:val="18"/>
        </w:rPr>
        <w:t>el.</w:t>
      </w:r>
      <w:r>
        <w:rPr>
          <w:sz w:val="18"/>
        </w:rPr>
        <w:t xml:space="preserve"> </w:t>
      </w:r>
      <w:r w:rsidRPr="00B331FB">
        <w:rPr>
          <w:sz w:val="18"/>
        </w:rPr>
        <w:t>p. sumin@sumin.lt</w:t>
      </w:r>
      <w:r>
        <w:rPr>
          <w:sz w:val="18"/>
        </w:rPr>
        <w:t>.</w:t>
      </w:r>
    </w:p>
    <w:p w14:paraId="1EE10239" w14:textId="77777777" w:rsidR="001D4573" w:rsidRDefault="001D4573" w:rsidP="001D4573">
      <w:pPr>
        <w:ind w:left="567" w:right="567"/>
        <w:jc w:val="center"/>
        <w:rPr>
          <w:sz w:val="18"/>
        </w:rPr>
      </w:pPr>
      <w:r w:rsidRPr="00B331FB">
        <w:rPr>
          <w:sz w:val="18"/>
        </w:rPr>
        <w:t>Duomenys kaupiami ir saugomi Juridinių asmenų registre,   kodas 188620589</w:t>
      </w:r>
    </w:p>
    <w:p w14:paraId="391F0E36" w14:textId="77777777" w:rsidR="001D4573" w:rsidRPr="008C2B21" w:rsidRDefault="001D4573" w:rsidP="001D4573">
      <w:pPr>
        <w:jc w:val="center"/>
        <w:rPr>
          <w:b/>
          <w:sz w:val="24"/>
          <w:szCs w:val="24"/>
        </w:rPr>
      </w:pPr>
      <w:r>
        <w:rPr>
          <w:b/>
          <w:noProof/>
          <w:sz w:val="28"/>
          <w:lang w:eastAsia="lt-LT"/>
        </w:rPr>
        <mc:AlternateContent>
          <mc:Choice Requires="wps">
            <w:drawing>
              <wp:anchor distT="0" distB="0" distL="114300" distR="114300" simplePos="0" relativeHeight="251659264" behindDoc="0" locked="0" layoutInCell="0" allowOverlap="1" wp14:anchorId="7DA0BB43" wp14:editId="1A3D01A3">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6177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hnEQIAACkEAAAOAAAAZHJzL2Uyb0RvYy54bWysU8GO2yAQvVfqPyDuie2s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" o:allowincell="f" strokeweight="1pt">
                <w10:wrap type="topAndBottom"/>
              </v:line>
            </w:pict>
          </mc:Fallback>
        </mc:AlternateContent>
      </w:r>
    </w:p>
    <w:p w14:paraId="77710EB9" w14:textId="77777777" w:rsidR="001D4573" w:rsidRPr="008C2B21" w:rsidRDefault="001D4573" w:rsidP="001D4573">
      <w:pPr>
        <w:jc w:val="center"/>
        <w:rPr>
          <w:b/>
          <w:sz w:val="24"/>
          <w:szCs w:val="24"/>
        </w:rPr>
      </w:pPr>
    </w:p>
    <w:tbl>
      <w:tblPr>
        <w:tblW w:w="0" w:type="auto"/>
        <w:tblLayout w:type="fixed"/>
        <w:tblLook w:val="0000" w:firstRow="0" w:lastRow="0" w:firstColumn="0" w:lastColumn="0" w:noHBand="0" w:noVBand="0"/>
      </w:tblPr>
      <w:tblGrid>
        <w:gridCol w:w="4503"/>
        <w:gridCol w:w="850"/>
        <w:gridCol w:w="4499"/>
      </w:tblGrid>
      <w:tr w:rsidR="001D4573" w:rsidRPr="00B331FB" w14:paraId="635FFFB3" w14:textId="77777777" w:rsidTr="00601D71">
        <w:tc>
          <w:tcPr>
            <w:tcW w:w="4503" w:type="dxa"/>
          </w:tcPr>
          <w:p w14:paraId="474EB8A2" w14:textId="77777777" w:rsidR="001D4573" w:rsidRDefault="001D4573" w:rsidP="00601D71">
            <w:pPr>
              <w:rPr>
                <w:sz w:val="24"/>
              </w:rPr>
            </w:pPr>
            <w:r>
              <w:rPr>
                <w:sz w:val="24"/>
              </w:rPr>
              <w:t>UAB „Kauno autobusai“ darbuotojų profesinei sąjungai</w:t>
            </w:r>
          </w:p>
          <w:p w14:paraId="320DE835" w14:textId="77777777" w:rsidR="001D4573" w:rsidRDefault="001D4573" w:rsidP="00601D71">
            <w:pPr>
              <w:rPr>
                <w:sz w:val="24"/>
              </w:rPr>
            </w:pPr>
          </w:p>
          <w:p w14:paraId="5A920C6C" w14:textId="77777777" w:rsidR="001D4573" w:rsidRDefault="001D4573" w:rsidP="00601D71">
            <w:pPr>
              <w:rPr>
                <w:sz w:val="24"/>
              </w:rPr>
            </w:pPr>
          </w:p>
        </w:tc>
        <w:tc>
          <w:tcPr>
            <w:tcW w:w="850" w:type="dxa"/>
          </w:tcPr>
          <w:p w14:paraId="2FF37CE7" w14:textId="77777777" w:rsidR="001D4573" w:rsidRDefault="001D4573" w:rsidP="00601D71">
            <w:pPr>
              <w:jc w:val="center"/>
              <w:rPr>
                <w:sz w:val="24"/>
              </w:rPr>
            </w:pPr>
          </w:p>
        </w:tc>
        <w:tc>
          <w:tcPr>
            <w:tcW w:w="4499" w:type="dxa"/>
          </w:tcPr>
          <w:p w14:paraId="2B0B7273" w14:textId="77777777" w:rsidR="001D4573" w:rsidRDefault="001D4573" w:rsidP="00601D71">
            <w:pPr>
              <w:jc w:val="both"/>
              <w:rPr>
                <w:sz w:val="24"/>
              </w:rPr>
            </w:pPr>
            <w:r>
              <w:rPr>
                <w:sz w:val="24"/>
              </w:rPr>
              <w:t xml:space="preserve">  </w:t>
            </w:r>
            <w:sdt>
              <w:sdtPr>
                <w:rPr>
                  <w:sz w:val="24"/>
                </w:rPr>
                <w:id w:val="875203748"/>
                <w:placeholder>
                  <w:docPart w:val="D117A5D09AAC49C28FE98E2D0E817166"/>
                </w:placeholder>
                <w:temporary/>
                <w:showingPlcHdr/>
              </w:sdtPr>
              <w:sdtEndPr/>
              <w:sdtContent>
                <w:r>
                  <w:rPr>
                    <w:sz w:val="24"/>
                  </w:rPr>
                  <w:t xml:space="preserve">            </w:t>
                </w:r>
              </w:sdtContent>
            </w:sdt>
            <w:r>
              <w:rPr>
                <w:sz w:val="24"/>
              </w:rPr>
              <w:t xml:space="preserve"> </w:t>
            </w:r>
            <w:r>
              <w:rPr>
                <w:sz w:val="24"/>
              </w:rPr>
              <w:tab/>
              <w:t xml:space="preserve">Nr. </w:t>
            </w:r>
            <w:sdt>
              <w:sdtPr>
                <w:rPr>
                  <w:sz w:val="24"/>
                </w:rPr>
                <w:id w:val="875203839"/>
                <w:placeholder>
                  <w:docPart w:val="07E1F577D7B74AFDBD2270D9C300EB70"/>
                </w:placeholder>
                <w:temporary/>
                <w:showingPlcHdr/>
              </w:sdtPr>
              <w:sdtEndPr/>
              <w:sdtContent>
                <w:r>
                  <w:rPr>
                    <w:sz w:val="24"/>
                  </w:rPr>
                  <w:t xml:space="preserve">      </w:t>
                </w:r>
              </w:sdtContent>
            </w:sdt>
          </w:p>
          <w:p w14:paraId="71327905" w14:textId="77777777" w:rsidR="001D4573" w:rsidRDefault="001D4573" w:rsidP="00601D71">
            <w:pPr>
              <w:jc w:val="both"/>
              <w:rPr>
                <w:sz w:val="12"/>
              </w:rPr>
            </w:pPr>
          </w:p>
          <w:p w14:paraId="3859AD74" w14:textId="77777777" w:rsidR="001D4573" w:rsidRDefault="001D4573" w:rsidP="00601D71">
            <w:pPr>
              <w:rPr>
                <w:sz w:val="26"/>
              </w:rPr>
            </w:pPr>
            <w:r>
              <w:rPr>
                <w:sz w:val="24"/>
              </w:rPr>
              <w:t xml:space="preserve">Į </w:t>
            </w:r>
            <w:r w:rsidRPr="0088428D">
              <w:rPr>
                <w:sz w:val="24"/>
              </w:rPr>
              <w:t>2026-03-12</w:t>
            </w:r>
            <w:r>
              <w:rPr>
                <w:sz w:val="24"/>
              </w:rPr>
              <w:t xml:space="preserve"> </w:t>
            </w:r>
            <w:r>
              <w:rPr>
                <w:sz w:val="24"/>
              </w:rPr>
              <w:tab/>
              <w:t>Nr. 10-123-78</w:t>
            </w:r>
          </w:p>
        </w:tc>
      </w:tr>
      <w:tr w:rsidR="001D4573" w:rsidRPr="00B331FB" w14:paraId="34AA5FB1" w14:textId="77777777" w:rsidTr="00601D71">
        <w:tc>
          <w:tcPr>
            <w:tcW w:w="4503" w:type="dxa"/>
          </w:tcPr>
          <w:p w14:paraId="74E15795" w14:textId="77777777" w:rsidR="001D4573" w:rsidRDefault="001D4573" w:rsidP="00601D71">
            <w:pPr>
              <w:jc w:val="center"/>
              <w:rPr>
                <w:sz w:val="24"/>
              </w:rPr>
            </w:pPr>
          </w:p>
        </w:tc>
        <w:tc>
          <w:tcPr>
            <w:tcW w:w="850" w:type="dxa"/>
          </w:tcPr>
          <w:p w14:paraId="03E9DC01" w14:textId="77777777" w:rsidR="001D4573" w:rsidRDefault="001D4573" w:rsidP="00601D71">
            <w:pPr>
              <w:jc w:val="center"/>
              <w:rPr>
                <w:sz w:val="24"/>
              </w:rPr>
            </w:pPr>
          </w:p>
        </w:tc>
        <w:tc>
          <w:tcPr>
            <w:tcW w:w="4499" w:type="dxa"/>
          </w:tcPr>
          <w:p w14:paraId="3DA9C2FE" w14:textId="77777777" w:rsidR="001D4573" w:rsidRDefault="001D4573" w:rsidP="00601D71">
            <w:pPr>
              <w:jc w:val="right"/>
              <w:rPr>
                <w:sz w:val="24"/>
              </w:rPr>
            </w:pPr>
          </w:p>
        </w:tc>
      </w:tr>
    </w:tbl>
    <w:p w14:paraId="0725E5D7" w14:textId="77777777" w:rsidR="001D4573" w:rsidRPr="007775A2" w:rsidRDefault="001D4573" w:rsidP="001D4573">
      <w:pPr>
        <w:jc w:val="both"/>
        <w:rPr>
          <w:b/>
          <w:sz w:val="24"/>
          <w:szCs w:val="24"/>
        </w:rPr>
      </w:pPr>
      <w:r w:rsidRPr="0088428D">
        <w:rPr>
          <w:b/>
          <w:sz w:val="24"/>
          <w:szCs w:val="24"/>
        </w:rPr>
        <w:t>ATSAKYMAS Į 202</w:t>
      </w:r>
      <w:r>
        <w:rPr>
          <w:b/>
          <w:sz w:val="24"/>
          <w:szCs w:val="24"/>
        </w:rPr>
        <w:t>6</w:t>
      </w:r>
      <w:r w:rsidRPr="0088428D">
        <w:rPr>
          <w:b/>
          <w:sz w:val="24"/>
          <w:szCs w:val="24"/>
        </w:rPr>
        <w:t>-03-12 RAŠTĄ NR. 10-143-78 „DĖL INTEGRUOTOS KELIONIŲ PLANAVIMO IR VIENO BILIETO SISTEMOS“</w:t>
      </w:r>
    </w:p>
    <w:p w14:paraId="53EF2918" w14:textId="77777777" w:rsidR="001D4573" w:rsidRDefault="001D4573" w:rsidP="001D4573">
      <w:pPr>
        <w:rPr>
          <w:sz w:val="24"/>
        </w:rPr>
      </w:pPr>
    </w:p>
    <w:p w14:paraId="19085C35" w14:textId="77777777" w:rsidR="001D4573" w:rsidRDefault="001D4573" w:rsidP="001D4573">
      <w:pPr>
        <w:rPr>
          <w:sz w:val="24"/>
        </w:rPr>
      </w:pPr>
    </w:p>
    <w:p w14:paraId="70C6129A" w14:textId="77777777" w:rsidR="001D4573" w:rsidRDefault="001D4573" w:rsidP="001D4573">
      <w:pPr>
        <w:pStyle w:val="BodyText"/>
        <w:ind w:firstLine="851"/>
      </w:pPr>
      <w:r w:rsidRPr="003A489D">
        <w:t>Lietuvos Respublikos susisiekimo ministerija (toliau – Susisiekimo ministerija) išnagrinėjo Jūsų 2026 m. kovo 12 d. raštą dėl Integruotos kelionių planavimo ir vieno bilieto sistemos (toliau – Projektas). Susisiekimo ministerija vertina Jūsų profesinės sąjungos įžvalgas ir teikia išsamią informaciją bei atsakymus į Jūsų užduotus klausimus.</w:t>
      </w:r>
      <w:r>
        <w:t xml:space="preserve"> </w:t>
      </w:r>
    </w:p>
    <w:p w14:paraId="79C4845E" w14:textId="77777777" w:rsidR="001D4573" w:rsidRDefault="001D4573" w:rsidP="001D4573">
      <w:pPr>
        <w:pStyle w:val="BodyText"/>
        <w:ind w:firstLine="851"/>
      </w:pPr>
      <w:r w:rsidRPr="003A489D">
        <w:t>Informuojame, kad rengiami teisės aktų projektai (Transporto veiklos pagrindų įstatymo</w:t>
      </w:r>
      <w:r>
        <w:t xml:space="preserve"> (tolau – TVPĮ)</w:t>
      </w:r>
      <w:r w:rsidRPr="003A489D">
        <w:t xml:space="preserve"> papildymas, Kelių transporto kodekso</w:t>
      </w:r>
      <w:r>
        <w:t xml:space="preserve"> (toliau – KTK)</w:t>
      </w:r>
      <w:r w:rsidRPr="003A489D">
        <w:t xml:space="preserve"> ir Vidaus vandenų transporto kodekso</w:t>
      </w:r>
      <w:r>
        <w:t xml:space="preserve"> (toliau – VVTK)</w:t>
      </w:r>
      <w:r w:rsidRPr="003A489D">
        <w:t xml:space="preserve"> pakeitimai) buvo viešai derinami su institucijomis, Lietuvos savivaldybių asociacija ir socialiniais partneriais (Lietuvos keleivių vežimo asociacija, Respublikine keleivių vežėjų autobusais asociacija, Lietuvos savivaldybių komunalinių įmonių asociacija, Lietuvos nacionaline vežėjų automobiliais asociacija „Linava“).</w:t>
      </w:r>
    </w:p>
    <w:p w14:paraId="0317160B" w14:textId="77777777" w:rsidR="001D4573" w:rsidRDefault="001D4573" w:rsidP="001D4573">
      <w:pPr>
        <w:pStyle w:val="BodyText"/>
        <w:ind w:firstLine="851"/>
      </w:pPr>
      <w:r w:rsidRPr="00A95B31">
        <w:t xml:space="preserve">Pripažįstame, kad rengiant </w:t>
      </w:r>
      <w:r>
        <w:t>TVPĮ</w:t>
      </w:r>
      <w:r w:rsidRPr="00A95B31">
        <w:t>,</w:t>
      </w:r>
      <w:r>
        <w:t xml:space="preserve"> KTK</w:t>
      </w:r>
      <w:r w:rsidRPr="00A95B31">
        <w:t xml:space="preserve"> bei </w:t>
      </w:r>
      <w:r>
        <w:t>VVTK</w:t>
      </w:r>
      <w:r w:rsidRPr="00A95B31">
        <w:t xml:space="preserve"> projektus, tiesioginis derinimas su darbuotojų profesinėmis sąjungomis nebuvo pilna apimtimi užtikrintas.</w:t>
      </w:r>
      <w:r w:rsidRPr="00A95B31">
        <w:rPr>
          <w:sz w:val="20"/>
        </w:rPr>
        <w:t xml:space="preserve"> </w:t>
      </w:r>
      <w:r>
        <w:rPr>
          <w:sz w:val="20"/>
        </w:rPr>
        <w:t>P</w:t>
      </w:r>
      <w:r w:rsidRPr="00A95B31">
        <w:t xml:space="preserve">abrėžiame, kad viešojo derinimo etape aktyviai dalyvavo Lietuvos savivaldybių asociacija bei </w:t>
      </w:r>
      <w:r>
        <w:t>Lietuvos k</w:t>
      </w:r>
      <w:r w:rsidRPr="00A95B31">
        <w:t xml:space="preserve">eleivių vežimo asociacija, kurių pastabas </w:t>
      </w:r>
      <w:r>
        <w:t>Susisiekimo ministerija</w:t>
      </w:r>
      <w:r w:rsidRPr="00A95B31">
        <w:t xml:space="preserve"> įvertino.</w:t>
      </w:r>
    </w:p>
    <w:p w14:paraId="27B55C45" w14:textId="77777777" w:rsidR="001D4573" w:rsidRDefault="001D4573" w:rsidP="001D4573">
      <w:pPr>
        <w:pStyle w:val="BodyText"/>
        <w:ind w:firstLine="851"/>
      </w:pPr>
      <w:r>
        <w:t>Susisiekimo ministerija vertina</w:t>
      </w:r>
      <w:r w:rsidRPr="004C7B9C">
        <w:t xml:space="preserve"> Jūsų profesinės sąjungos įžvalgas ir teikiame išsamią informaciją bei atsakymus į Jūsų užduotus klausimus.</w:t>
      </w:r>
    </w:p>
    <w:p w14:paraId="73A1865A" w14:textId="77777777" w:rsidR="001D4573" w:rsidRDefault="001D4573" w:rsidP="001D4573">
      <w:pPr>
        <w:pStyle w:val="BodyText"/>
        <w:ind w:firstLine="851"/>
      </w:pPr>
      <w:r w:rsidRPr="003A489D">
        <w:t>Atsakymai į Jūsų pateiktus klausimus:</w:t>
      </w:r>
    </w:p>
    <w:p w14:paraId="16AC1FE3" w14:textId="77777777" w:rsidR="001D4573" w:rsidRDefault="001D4573" w:rsidP="001D4573">
      <w:pPr>
        <w:pStyle w:val="BodyText"/>
        <w:numPr>
          <w:ilvl w:val="0"/>
          <w:numId w:val="1"/>
        </w:numPr>
        <w:tabs>
          <w:tab w:val="right" w:pos="1134"/>
          <w:tab w:val="right" w:pos="1418"/>
        </w:tabs>
        <w:ind w:left="0" w:firstLine="851"/>
      </w:pPr>
      <w:r w:rsidRPr="003A489D">
        <w:rPr>
          <w:b/>
          <w:bCs/>
        </w:rPr>
        <w:t>Dėl atitikties Vyriausybės programai</w:t>
      </w:r>
      <w:r>
        <w:rPr>
          <w:b/>
          <w:bCs/>
        </w:rPr>
        <w:t>.</w:t>
      </w:r>
      <w:r w:rsidRPr="003A489D">
        <w:t xml:space="preserve"> XX Lietuvos Respublikos Vyriausybės programos (patvirtintos 2025 m. rugsėjo 25 d. Seimo nutarimu Nr. XV-439) X skyriaus „Gerinsime kelių būklę visoje Lietuvoje“ 550 punkte numatyta priemonė sukurti integruotą viešojo transporto kelionių planavimo ir bilietų sistemą, užtikrinant teisinį reguliavimą, koordinavimą ir ilgalaikį strateginį planavimą. Siekiant įgyvendinti šias nuostatas, parengti TVPĮ, KTK ir VVTK pakeitimų projektai, kuriais siekiama </w:t>
      </w:r>
      <w:r>
        <w:t xml:space="preserve">sukurti teisinio reguliavimo pagrindą </w:t>
      </w:r>
      <w:r w:rsidRPr="003A489D">
        <w:t>Kelionių planavimo ir jungtinio bilieto informacin</w:t>
      </w:r>
      <w:r>
        <w:t>ės</w:t>
      </w:r>
      <w:r w:rsidRPr="003A489D">
        <w:t xml:space="preserve"> sistem</w:t>
      </w:r>
      <w:r>
        <w:t>os diegimui</w:t>
      </w:r>
      <w:r w:rsidRPr="003A489D">
        <w:t xml:space="preserve"> nacionaliniu mastu</w:t>
      </w:r>
      <w:r>
        <w:t xml:space="preserve"> ir visų transporto rūšių – geležinkelių, kelių ir vidaus vandenų – apjungimą į vieną sistemą</w:t>
      </w:r>
      <w:r w:rsidRPr="003A489D">
        <w:t>.</w:t>
      </w:r>
    </w:p>
    <w:p w14:paraId="644FFE3C" w14:textId="77777777" w:rsidR="001D4573" w:rsidRDefault="001D4573" w:rsidP="001D4573">
      <w:pPr>
        <w:pStyle w:val="BodyText"/>
        <w:numPr>
          <w:ilvl w:val="0"/>
          <w:numId w:val="1"/>
        </w:numPr>
        <w:tabs>
          <w:tab w:val="right" w:pos="1134"/>
          <w:tab w:val="right" w:pos="1418"/>
        </w:tabs>
        <w:ind w:left="0" w:firstLine="851"/>
      </w:pPr>
      <w:r w:rsidRPr="003A489D">
        <w:rPr>
          <w:b/>
          <w:bCs/>
        </w:rPr>
        <w:t>Dėl sistemos poveikio ir tikslų</w:t>
      </w:r>
      <w:r>
        <w:rPr>
          <w:b/>
          <w:bCs/>
        </w:rPr>
        <w:t>.</w:t>
      </w:r>
      <w:r w:rsidRPr="003A489D">
        <w:t xml:space="preserve"> Nacionalinė sistema nėra kuriama kaip konkurencinis įrankis savivaldybių </w:t>
      </w:r>
      <w:r>
        <w:t>ir</w:t>
      </w:r>
      <w:r w:rsidRPr="003A489D">
        <w:t xml:space="preserve"> regionų</w:t>
      </w:r>
      <w:r>
        <w:t xml:space="preserve"> kelionių planavimo ar kelionės bilietų įsigijimo</w:t>
      </w:r>
      <w:r w:rsidRPr="003A489D">
        <w:t xml:space="preserve"> sistemoms. Tikslas </w:t>
      </w:r>
      <w:r>
        <w:t>yra</w:t>
      </w:r>
      <w:r w:rsidRPr="003A489D">
        <w:t xml:space="preserve"> sukurti platformą, leidžiančią keleiviui vienu pirkimu įsigyti bilietus kelionėms per kelias savivaldybes ar skirtingomis transporto rūšimis (autobusais, geležinkeliu, keltais), išlaikant </w:t>
      </w:r>
      <w:r>
        <w:t>savivaldybių ir regionines</w:t>
      </w:r>
      <w:r w:rsidRPr="003A489D">
        <w:t xml:space="preserve"> platformas kaip patogias regionines ekosistemos dalis. Detalios</w:t>
      </w:r>
      <w:r>
        <w:t xml:space="preserve"> </w:t>
      </w:r>
      <w:r w:rsidRPr="003A489D">
        <w:t>informacinės sistemos funkcionavimo </w:t>
      </w:r>
      <w:r>
        <w:t xml:space="preserve">tvarka ir taisyklės </w:t>
      </w:r>
      <w:r w:rsidRPr="003A489D">
        <w:t>bus nustatytos</w:t>
      </w:r>
      <w:r>
        <w:t xml:space="preserve"> </w:t>
      </w:r>
      <w:r w:rsidRPr="00DD7FA4">
        <w:t> poįstatyminiais</w:t>
      </w:r>
      <w:r>
        <w:t xml:space="preserve"> </w:t>
      </w:r>
      <w:r w:rsidRPr="00DD7FA4">
        <w:t>aktais –</w:t>
      </w:r>
      <w:r w:rsidRPr="003A489D">
        <w:t xml:space="preserve"> Susisiekimo ministro įsakymais.</w:t>
      </w:r>
    </w:p>
    <w:p w14:paraId="6BD93B88" w14:textId="77777777" w:rsidR="001D4573" w:rsidRDefault="001D4573" w:rsidP="001D4573">
      <w:pPr>
        <w:pStyle w:val="BodyText"/>
        <w:numPr>
          <w:ilvl w:val="0"/>
          <w:numId w:val="1"/>
        </w:numPr>
        <w:tabs>
          <w:tab w:val="right" w:pos="1134"/>
          <w:tab w:val="right" w:pos="1418"/>
        </w:tabs>
        <w:ind w:left="0" w:firstLine="851"/>
      </w:pPr>
      <w:r w:rsidRPr="003A489D">
        <w:rPr>
          <w:b/>
          <w:bCs/>
        </w:rPr>
        <w:lastRenderedPageBreak/>
        <w:t>Dėl techninių priemonių ir finansinės naštos</w:t>
      </w:r>
      <w:r>
        <w:rPr>
          <w:b/>
          <w:bCs/>
        </w:rPr>
        <w:t>.</w:t>
      </w:r>
      <w:r w:rsidRPr="003A489D">
        <w:t xml:space="preserve"> Susisiekimo ministerija siekia, kad finansinė našta vežėjams ir savivaldybėms būtų minimali. Bus ieškoma sprendimų naudoti esamą infrastruktūrą (pvz., komposterius) bilietų validacijai. Šiuo metu vertinami paramos mechanizmai ūkio subjektams technologinio prisijungimo išlaidoms padengti</w:t>
      </w:r>
      <w:r w:rsidRPr="00BB5C31">
        <w:t>.</w:t>
      </w:r>
    </w:p>
    <w:p w14:paraId="07CDB44A" w14:textId="77777777" w:rsidR="001D4573" w:rsidRDefault="001D4573" w:rsidP="001D4573">
      <w:pPr>
        <w:pStyle w:val="BodyText"/>
        <w:ind w:firstLine="851"/>
      </w:pPr>
      <w:r>
        <w:t>Susisiekimo m</w:t>
      </w:r>
      <w:r w:rsidRPr="00BB5C31">
        <w:t>inisterija koordinuoja technin</w:t>
      </w:r>
      <w:r>
        <w:t>ės</w:t>
      </w:r>
      <w:r w:rsidRPr="00BB5C31">
        <w:t xml:space="preserve"> specifikacij</w:t>
      </w:r>
      <w:r>
        <w:t>os</w:t>
      </w:r>
      <w:r w:rsidRPr="00BB5C31">
        <w:t xml:space="preserve"> rengimą</w:t>
      </w:r>
      <w:r>
        <w:t xml:space="preserve"> ir viešojo pirkimo vykdymą</w:t>
      </w:r>
      <w:r w:rsidRPr="00BB5C31">
        <w:t>. Patvirtiname, kad socialiniai partneriai bus informuojami apie techninius reikalavimus, siekiant užtikrinti skaidrumą.</w:t>
      </w:r>
    </w:p>
    <w:p w14:paraId="798A334D" w14:textId="77777777" w:rsidR="001D4573" w:rsidRDefault="001D4573" w:rsidP="001D4573">
      <w:pPr>
        <w:pStyle w:val="BodyText"/>
        <w:ind w:firstLine="851"/>
      </w:pPr>
      <w:r w:rsidRPr="00BB5C31">
        <w:t xml:space="preserve">Nors tiesioginis poveikis transporto darbuotojų kasdieniam darbui ar socialinėms garantijoms dėl </w:t>
      </w:r>
      <w:r>
        <w:t>šių teisės aktų keitimo</w:t>
      </w:r>
      <w:r w:rsidRPr="00BB5C31">
        <w:t xml:space="preserve"> nėra numatomas, </w:t>
      </w:r>
      <w:r>
        <w:t>Susisiekimo ministerija</w:t>
      </w:r>
      <w:r w:rsidRPr="00BB5C31">
        <w:t xml:space="preserve"> sutinka, kad keleivinio transporto darbuotojai (geležinkelių, kelių ir vandens transporto įmonių atstovai) turi būti informuoti apie pokyčius. </w:t>
      </w:r>
      <w:r>
        <w:t xml:space="preserve">Susisiekimo ministerija </w:t>
      </w:r>
      <w:r w:rsidRPr="00BB5C31">
        <w:t>laiky</w:t>
      </w:r>
      <w:r>
        <w:t>sis</w:t>
      </w:r>
      <w:r w:rsidRPr="00BB5C31">
        <w:t xml:space="preserve"> skaidrumo ir socialinio dialogo principų tolimesnėje</w:t>
      </w:r>
      <w:r>
        <w:t xml:space="preserve"> veikloje, diegiant naujoves keleiviniame transporte</w:t>
      </w:r>
      <w:r w:rsidRPr="00BB5C31">
        <w:t>.</w:t>
      </w:r>
    </w:p>
    <w:p w14:paraId="45DF088F" w14:textId="77777777" w:rsidR="001D4573" w:rsidRDefault="001D4573" w:rsidP="001D4573">
      <w:pPr>
        <w:rPr>
          <w:sz w:val="24"/>
        </w:rPr>
      </w:pPr>
    </w:p>
    <w:tbl>
      <w:tblPr>
        <w:tblW w:w="9821" w:type="dxa"/>
        <w:tblLayout w:type="fixed"/>
        <w:tblLook w:val="0000" w:firstRow="0" w:lastRow="0" w:firstColumn="0" w:lastColumn="0" w:noHBand="0" w:noVBand="0"/>
      </w:tblPr>
      <w:tblGrid>
        <w:gridCol w:w="3765"/>
        <w:gridCol w:w="2773"/>
        <w:gridCol w:w="3283"/>
      </w:tblGrid>
      <w:tr w:rsidR="001D4573" w14:paraId="6539B000" w14:textId="77777777" w:rsidTr="00601D71">
        <w:trPr>
          <w:trHeight w:val="240"/>
        </w:trPr>
        <w:tc>
          <w:tcPr>
            <w:tcW w:w="3765" w:type="dxa"/>
          </w:tcPr>
          <w:p w14:paraId="18582BE5" w14:textId="77777777" w:rsidR="001D4573" w:rsidRDefault="001D4573" w:rsidP="00601D71">
            <w:pPr>
              <w:spacing w:before="480"/>
              <w:rPr>
                <w:sz w:val="24"/>
              </w:rPr>
            </w:pPr>
            <w:r>
              <w:rPr>
                <w:sz w:val="24"/>
              </w:rPr>
              <w:t>Viceministrė</w:t>
            </w:r>
          </w:p>
        </w:tc>
        <w:tc>
          <w:tcPr>
            <w:tcW w:w="2773" w:type="dxa"/>
          </w:tcPr>
          <w:p w14:paraId="0998B0C9" w14:textId="77777777" w:rsidR="001D4573" w:rsidRDefault="001D4573" w:rsidP="00601D71">
            <w:pPr>
              <w:spacing w:before="480"/>
              <w:rPr>
                <w:sz w:val="24"/>
              </w:rPr>
            </w:pPr>
          </w:p>
        </w:tc>
        <w:tc>
          <w:tcPr>
            <w:tcW w:w="3283" w:type="dxa"/>
          </w:tcPr>
          <w:p w14:paraId="41C2B229" w14:textId="77777777" w:rsidR="001D4573" w:rsidRDefault="001D4573" w:rsidP="00601D71">
            <w:pPr>
              <w:spacing w:before="480"/>
              <w:rPr>
                <w:sz w:val="24"/>
              </w:rPr>
            </w:pPr>
            <w:r>
              <w:rPr>
                <w:sz w:val="24"/>
              </w:rPr>
              <w:t>Akvilė Danielė</w:t>
            </w:r>
          </w:p>
        </w:tc>
      </w:tr>
    </w:tbl>
    <w:p w14:paraId="7121D96C" w14:textId="77777777" w:rsidR="001D4573" w:rsidRPr="000E476E" w:rsidRDefault="001D4573" w:rsidP="001D4573">
      <w:pPr>
        <w:keepNext/>
        <w:framePr w:w="9549" w:h="346" w:hRule="exact" w:hSpace="181" w:wrap="around" w:vAnchor="page" w:hAnchor="page" w:x="1702" w:y="14945" w:anchorLock="1"/>
        <w:rPr>
          <w:sz w:val="24"/>
        </w:rPr>
      </w:pPr>
      <w:r w:rsidRPr="00A236AE">
        <w:rPr>
          <w:sz w:val="24"/>
        </w:rPr>
        <w:t xml:space="preserve">K. Puleikytė, tel. +370 634 62754, el. p. kristina.puleikyte@sumin.lt </w:t>
      </w:r>
      <w:sdt>
        <w:sdtPr>
          <w:rPr>
            <w:sz w:val="24"/>
          </w:rPr>
          <w:id w:val="875204181"/>
          <w:placeholder>
            <w:docPart w:val="B22DB4F2A0904678933C09D476AECC02"/>
          </w:placeholder>
          <w:temporary/>
          <w:showingPlcHdr/>
        </w:sdtPr>
        <w:sdtEndPr/>
        <w:sdtContent>
          <w:r>
            <w:rPr>
              <w:sz w:val="24"/>
            </w:rPr>
            <w:t xml:space="preserve"> </w:t>
          </w:r>
        </w:sdtContent>
      </w:sdt>
    </w:p>
    <w:p w14:paraId="3A9EF3E1" w14:textId="77777777" w:rsidR="001D4573" w:rsidRDefault="001D4573" w:rsidP="001D4573">
      <w:pPr>
        <w:rPr>
          <w:sz w:val="24"/>
        </w:rPr>
      </w:pPr>
    </w:p>
    <w:p w14:paraId="7EFECB16" w14:textId="77777777" w:rsidR="001D4573" w:rsidRDefault="001D4573" w:rsidP="001D4573">
      <w:pPr>
        <w:rPr>
          <w:sz w:val="24"/>
        </w:rPr>
      </w:pPr>
    </w:p>
    <w:p w14:paraId="0FC20EB8" w14:textId="77777777" w:rsidR="001D4573" w:rsidRDefault="001D4573" w:rsidP="001D4573">
      <w:pPr>
        <w:rPr>
          <w:sz w:val="24"/>
        </w:rPr>
      </w:pPr>
    </w:p>
    <w:p w14:paraId="22BB68E9" w14:textId="77777777" w:rsidR="00FC6E0B" w:rsidRDefault="00FC6E0B"/>
    <w:sectPr w:rsidR="00FC6E0B" w:rsidSect="001D4573">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425" w:left="1701" w:header="567" w:footer="116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6B8CB" w14:textId="77777777" w:rsidR="007105ED" w:rsidRDefault="007105ED">
      <w:r>
        <w:separator/>
      </w:r>
    </w:p>
  </w:endnote>
  <w:endnote w:type="continuationSeparator" w:id="0">
    <w:p w14:paraId="3E5406F0" w14:textId="77777777" w:rsidR="007105ED" w:rsidRDefault="0071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D649" w14:textId="77777777" w:rsidR="007105ED" w:rsidRDefault="00710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DFCE" w14:textId="77777777" w:rsidR="007105ED" w:rsidRDefault="007105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BCF3" w14:textId="77777777" w:rsidR="007105ED" w:rsidRDefault="007105ED" w:rsidP="00CC6858">
    <w:pPr>
      <w:pStyle w:val="Footer"/>
      <w:tabs>
        <w:tab w:val="clear" w:pos="4153"/>
        <w:tab w:val="clear" w:pos="83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A612" w14:textId="77777777" w:rsidR="007105ED" w:rsidRDefault="007105ED">
      <w:r>
        <w:separator/>
      </w:r>
    </w:p>
  </w:footnote>
  <w:footnote w:type="continuationSeparator" w:id="0">
    <w:p w14:paraId="628A223B" w14:textId="77777777" w:rsidR="007105ED" w:rsidRDefault="00710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8CD7" w14:textId="77777777" w:rsidR="007105ED" w:rsidRDefault="001D45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AED30C" w14:textId="77777777" w:rsidR="007105ED" w:rsidRDefault="00710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8B21" w14:textId="77777777" w:rsidR="007105ED" w:rsidRDefault="001D45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EE78B0" w14:textId="77777777" w:rsidR="007105ED" w:rsidRDefault="007105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3862" w14:textId="77777777" w:rsidR="007105ED" w:rsidRDefault="00710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A5422"/>
    <w:multiLevelType w:val="hybridMultilevel"/>
    <w:tmpl w:val="C0B4742A"/>
    <w:lvl w:ilvl="0" w:tplc="98D48E68">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775981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73"/>
    <w:rsid w:val="001D4573"/>
    <w:rsid w:val="007105ED"/>
    <w:rsid w:val="00A01527"/>
    <w:rsid w:val="00FC6E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380F"/>
  <w15:chartTrackingRefBased/>
  <w15:docId w15:val="{8CCEDA30-7326-451A-99C8-A7039051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57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4573"/>
    <w:pPr>
      <w:ind w:firstLine="1247"/>
      <w:jc w:val="both"/>
    </w:pPr>
    <w:rPr>
      <w:sz w:val="24"/>
    </w:rPr>
  </w:style>
  <w:style w:type="character" w:customStyle="1" w:styleId="BodyTextChar">
    <w:name w:val="Body Text Char"/>
    <w:basedOn w:val="DefaultParagraphFont"/>
    <w:link w:val="BodyText"/>
    <w:rsid w:val="001D4573"/>
    <w:rPr>
      <w:rFonts w:ascii="Times New Roman" w:eastAsia="Times New Roman" w:hAnsi="Times New Roman" w:cs="Times New Roman"/>
      <w:sz w:val="24"/>
      <w:szCs w:val="20"/>
    </w:rPr>
  </w:style>
  <w:style w:type="paragraph" w:styleId="Header">
    <w:name w:val="header"/>
    <w:basedOn w:val="Normal"/>
    <w:link w:val="HeaderChar"/>
    <w:rsid w:val="001D4573"/>
    <w:pPr>
      <w:tabs>
        <w:tab w:val="center" w:pos="4153"/>
        <w:tab w:val="right" w:pos="8306"/>
      </w:tabs>
    </w:pPr>
  </w:style>
  <w:style w:type="character" w:customStyle="1" w:styleId="HeaderChar">
    <w:name w:val="Header Char"/>
    <w:basedOn w:val="DefaultParagraphFont"/>
    <w:link w:val="Header"/>
    <w:rsid w:val="001D4573"/>
    <w:rPr>
      <w:rFonts w:ascii="Times New Roman" w:eastAsia="Times New Roman" w:hAnsi="Times New Roman" w:cs="Times New Roman"/>
      <w:sz w:val="20"/>
      <w:szCs w:val="20"/>
    </w:rPr>
  </w:style>
  <w:style w:type="character" w:styleId="PageNumber">
    <w:name w:val="page number"/>
    <w:basedOn w:val="DefaultParagraphFont"/>
    <w:rsid w:val="001D4573"/>
  </w:style>
  <w:style w:type="paragraph" w:styleId="Footer">
    <w:name w:val="footer"/>
    <w:basedOn w:val="Normal"/>
    <w:link w:val="FooterChar"/>
    <w:rsid w:val="001D4573"/>
    <w:pPr>
      <w:tabs>
        <w:tab w:val="center" w:pos="4153"/>
        <w:tab w:val="right" w:pos="8306"/>
      </w:tabs>
    </w:pPr>
  </w:style>
  <w:style w:type="character" w:customStyle="1" w:styleId="FooterChar">
    <w:name w:val="Footer Char"/>
    <w:basedOn w:val="DefaultParagraphFont"/>
    <w:link w:val="Footer"/>
    <w:rsid w:val="001D45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D4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5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17A5D09AAC49C28FE98E2D0E817166"/>
        <w:category>
          <w:name w:val="Bendrosios nuostatos"/>
          <w:gallery w:val="placeholder"/>
        </w:category>
        <w:types>
          <w:type w:val="bbPlcHdr"/>
        </w:types>
        <w:behaviors>
          <w:behavior w:val="content"/>
        </w:behaviors>
        <w:guid w:val="{4F64E542-4DA5-4791-9CDC-4A708487C19A}"/>
      </w:docPartPr>
      <w:docPartBody>
        <w:p w:rsidR="00A71A3F" w:rsidRDefault="006E3EF2" w:rsidP="006E3EF2">
          <w:pPr>
            <w:pStyle w:val="D117A5D09AAC49C28FE98E2D0E817166"/>
          </w:pPr>
          <w:r>
            <w:t xml:space="preserve">            </w:t>
          </w:r>
        </w:p>
      </w:docPartBody>
    </w:docPart>
    <w:docPart>
      <w:docPartPr>
        <w:name w:val="07E1F577D7B74AFDBD2270D9C300EB70"/>
        <w:category>
          <w:name w:val="Bendrosios nuostatos"/>
          <w:gallery w:val="placeholder"/>
        </w:category>
        <w:types>
          <w:type w:val="bbPlcHdr"/>
        </w:types>
        <w:behaviors>
          <w:behavior w:val="content"/>
        </w:behaviors>
        <w:guid w:val="{585FDBAC-2637-49E0-922C-66B2FCF66879}"/>
      </w:docPartPr>
      <w:docPartBody>
        <w:p w:rsidR="00A71A3F" w:rsidRDefault="006E3EF2" w:rsidP="006E3EF2">
          <w:pPr>
            <w:pStyle w:val="07E1F577D7B74AFDBD2270D9C300EB70"/>
          </w:pPr>
          <w:r>
            <w:t xml:space="preserve">      </w:t>
          </w:r>
        </w:p>
      </w:docPartBody>
    </w:docPart>
    <w:docPart>
      <w:docPartPr>
        <w:name w:val="B22DB4F2A0904678933C09D476AECC02"/>
        <w:category>
          <w:name w:val="Bendrosios nuostatos"/>
          <w:gallery w:val="placeholder"/>
        </w:category>
        <w:types>
          <w:type w:val="bbPlcHdr"/>
        </w:types>
        <w:behaviors>
          <w:behavior w:val="content"/>
        </w:behaviors>
        <w:guid w:val="{C3089F32-E37F-4990-88EA-B7AD505630D5}"/>
      </w:docPartPr>
      <w:docPartBody>
        <w:p w:rsidR="00A71A3F" w:rsidRDefault="006E3EF2" w:rsidP="006E3EF2">
          <w:pPr>
            <w:pStyle w:val="B22DB4F2A0904678933C09D476AECC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F2"/>
    <w:rsid w:val="00645EE2"/>
    <w:rsid w:val="006E3EF2"/>
    <w:rsid w:val="00A01527"/>
    <w:rsid w:val="00A71A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17A5D09AAC49C28FE98E2D0E817166">
    <w:name w:val="D117A5D09AAC49C28FE98E2D0E817166"/>
    <w:rsid w:val="006E3EF2"/>
  </w:style>
  <w:style w:type="paragraph" w:customStyle="1" w:styleId="07E1F577D7B74AFDBD2270D9C300EB70">
    <w:name w:val="07E1F577D7B74AFDBD2270D9C300EB70"/>
    <w:rsid w:val="006E3EF2"/>
  </w:style>
  <w:style w:type="paragraph" w:customStyle="1" w:styleId="B22DB4F2A0904678933C09D476AECC02">
    <w:name w:val="B22DB4F2A0904678933C09D476AECC02"/>
    <w:rsid w:val="006E3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3620</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Bronius Bučelis</dc:creator>
  <cp:keywords/>
  <dc:description/>
  <cp:lastModifiedBy>Daiva Kvedaraite</cp:lastModifiedBy>
  <cp:revision>2</cp:revision>
  <cp:lastPrinted>2026-04-09T08:11:00Z</cp:lastPrinted>
  <dcterms:created xsi:type="dcterms:W3CDTF">2026-04-10T09:50:00Z</dcterms:created>
  <dcterms:modified xsi:type="dcterms:W3CDTF">2026-04-10T09:50:00Z</dcterms:modified>
</cp:coreProperties>
</file>